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9395D8" w14:textId="77777777" w:rsidR="00F94BE7" w:rsidRPr="00F94BE7" w:rsidRDefault="00F94BE7" w:rsidP="00F94BE7">
      <w:pPr>
        <w:spacing w:line="480" w:lineRule="auto"/>
        <w:jc w:val="center"/>
        <w:rPr>
          <w:b/>
          <w:bCs/>
          <w:sz w:val="28"/>
          <w:szCs w:val="28"/>
          <w:lang w:val="en-US"/>
        </w:rPr>
      </w:pPr>
      <w:r w:rsidRPr="00F94BE7">
        <w:rPr>
          <w:sz w:val="40"/>
          <w:szCs w:val="40"/>
          <w:u w:val="single"/>
          <w:lang w:val="en-US"/>
        </w:rPr>
        <w:t>Supplementary Information</w:t>
      </w:r>
    </w:p>
    <w:p w14:paraId="1C3E39EA" w14:textId="77777777" w:rsidR="00076662" w:rsidRPr="00656A8A" w:rsidRDefault="00076662" w:rsidP="00076662">
      <w:pPr>
        <w:spacing w:line="480" w:lineRule="auto"/>
        <w:jc w:val="center"/>
        <w:rPr>
          <w:rFonts w:cs="Times New Roman"/>
          <w:b/>
          <w:bCs/>
          <w:sz w:val="28"/>
          <w:szCs w:val="28"/>
          <w:lang w:val="en-US"/>
        </w:rPr>
      </w:pPr>
      <w:bookmarkStart w:id="0" w:name="_Hlk172843098"/>
      <w:r>
        <w:rPr>
          <w:rFonts w:cs="Times New Roman"/>
          <w:b/>
          <w:bCs/>
          <w:sz w:val="28"/>
          <w:szCs w:val="28"/>
          <w:lang w:val="en-US"/>
        </w:rPr>
        <w:t xml:space="preserve">Granular </w:t>
      </w:r>
      <w:r w:rsidRPr="001F13D7">
        <w:rPr>
          <w:rFonts w:cs="Times New Roman"/>
          <w:b/>
          <w:bCs/>
          <w:sz w:val="28"/>
          <w:szCs w:val="28"/>
          <w:lang w:val="en-US"/>
        </w:rPr>
        <w:t xml:space="preserve">Ni-Mo-W </w:t>
      </w:r>
      <w:r>
        <w:rPr>
          <w:rFonts w:cs="Times New Roman"/>
          <w:b/>
          <w:bCs/>
          <w:sz w:val="28"/>
          <w:szCs w:val="28"/>
          <w:lang w:val="en-US"/>
        </w:rPr>
        <w:t xml:space="preserve">bulk </w:t>
      </w:r>
      <w:r w:rsidRPr="001F13D7">
        <w:rPr>
          <w:rFonts w:cs="Times New Roman"/>
          <w:b/>
          <w:bCs/>
          <w:sz w:val="28"/>
          <w:szCs w:val="28"/>
          <w:lang w:val="en-US"/>
        </w:rPr>
        <w:t xml:space="preserve">hydrotreating </w:t>
      </w:r>
      <w:r>
        <w:rPr>
          <w:rFonts w:cs="Times New Roman"/>
          <w:b/>
          <w:bCs/>
          <w:sz w:val="28"/>
          <w:szCs w:val="28"/>
          <w:lang w:val="en-US"/>
        </w:rPr>
        <w:t>catalyst</w:t>
      </w:r>
      <w:r w:rsidRPr="00656A8A">
        <w:rPr>
          <w:rFonts w:cs="Times New Roman"/>
          <w:b/>
          <w:bCs/>
          <w:sz w:val="28"/>
          <w:szCs w:val="28"/>
          <w:lang w:val="en-US"/>
        </w:rPr>
        <w:t xml:space="preserve">: </w:t>
      </w:r>
      <w:r>
        <w:rPr>
          <w:rFonts w:cs="Times New Roman"/>
          <w:b/>
          <w:bCs/>
          <w:sz w:val="28"/>
          <w:szCs w:val="28"/>
          <w:lang w:val="en-US"/>
        </w:rPr>
        <w:t>the effects from precursor calcination</w:t>
      </w:r>
      <w:bookmarkEnd w:id="0"/>
    </w:p>
    <w:p w14:paraId="1513ECA8" w14:textId="77777777" w:rsidR="00941E0D" w:rsidRPr="00950DB0" w:rsidRDefault="00941E0D" w:rsidP="00941E0D">
      <w:pPr>
        <w:spacing w:line="480" w:lineRule="auto"/>
        <w:jc w:val="center"/>
        <w:rPr>
          <w:rFonts w:cs="Times New Roman"/>
          <w:b/>
          <w:bCs/>
          <w:sz w:val="28"/>
          <w:szCs w:val="28"/>
          <w:lang w:val="en-US"/>
        </w:rPr>
      </w:pPr>
    </w:p>
    <w:p w14:paraId="386A9C5C" w14:textId="77777777" w:rsidR="00941E0D" w:rsidRPr="00941E0D" w:rsidRDefault="00941E0D" w:rsidP="00941E0D">
      <w:pPr>
        <w:spacing w:line="480" w:lineRule="auto"/>
        <w:ind w:firstLine="0"/>
        <w:jc w:val="center"/>
        <w:rPr>
          <w:rFonts w:cs="Times New Roman"/>
          <w:b/>
          <w:lang w:val="en-US"/>
        </w:rPr>
      </w:pPr>
      <w:r w:rsidRPr="00D66643">
        <w:rPr>
          <w:rFonts w:cs="Times New Roman"/>
          <w:b/>
          <w:lang w:val="es-ES"/>
        </w:rPr>
        <w:t xml:space="preserve">K. A. Nadeina, Yu. V. Vatutina, P. P. Mukhacheva, S. V. Budukva, I. G. Danilova, V. P. Pakharukova, E. Yu. </w:t>
      </w:r>
      <w:r w:rsidRPr="00941E0D">
        <w:rPr>
          <w:rFonts w:cs="Times New Roman"/>
          <w:b/>
          <w:lang w:val="en-US"/>
        </w:rPr>
        <w:t>Gerasimov, M. A. Panafidin, O. V. Klimov</w:t>
      </w:r>
    </w:p>
    <w:p w14:paraId="62382AC9" w14:textId="77777777" w:rsidR="00F94BE7" w:rsidRPr="00F94BE7" w:rsidRDefault="00F94BE7" w:rsidP="00F94BE7">
      <w:pPr>
        <w:spacing w:after="0" w:line="480" w:lineRule="auto"/>
        <w:rPr>
          <w:rFonts w:eastAsia="Times New Roman" w:cs="Times New Roman"/>
          <w:szCs w:val="24"/>
          <w:lang w:val="en-US" w:eastAsia="fr-FR"/>
        </w:rPr>
      </w:pPr>
      <w:r w:rsidRPr="00F94BE7">
        <w:rPr>
          <w:rFonts w:eastAsia="Times New Roman" w:cs="Times New Roman"/>
          <w:szCs w:val="24"/>
          <w:lang w:val="en-US" w:eastAsia="fr-FR"/>
        </w:rPr>
        <w:t>Boreskov Institute of Catalysis SB RAS, Lavrentiev Ave. 5, Novosibirsk, Russia, 630090</w:t>
      </w:r>
    </w:p>
    <w:p w14:paraId="1FCE5576" w14:textId="77777777" w:rsidR="00F94BE7" w:rsidRPr="00F94BE7" w:rsidRDefault="00F94BE7" w:rsidP="00F94BE7">
      <w:pPr>
        <w:spacing w:after="0" w:line="480" w:lineRule="auto"/>
        <w:rPr>
          <w:b/>
          <w:bCs/>
          <w:iCs/>
          <w:szCs w:val="24"/>
          <w:lang w:val="en-US"/>
        </w:rPr>
      </w:pPr>
    </w:p>
    <w:p w14:paraId="49B14DAF" w14:textId="77777777" w:rsidR="00F94BE7" w:rsidRPr="00F94BE7" w:rsidRDefault="00F94BE7" w:rsidP="00F94BE7">
      <w:pPr>
        <w:spacing w:after="0" w:line="480" w:lineRule="auto"/>
        <w:rPr>
          <w:iCs/>
          <w:szCs w:val="24"/>
          <w:lang w:val="en-US"/>
        </w:rPr>
      </w:pPr>
      <w:r w:rsidRPr="00F94BE7">
        <w:rPr>
          <w:b/>
          <w:szCs w:val="24"/>
          <w:lang w:val="en-US"/>
        </w:rPr>
        <w:t xml:space="preserve">* </w:t>
      </w:r>
      <w:r w:rsidRPr="00F94BE7">
        <w:rPr>
          <w:b/>
          <w:bCs/>
          <w:iCs/>
          <w:szCs w:val="24"/>
          <w:lang w:val="en-US"/>
        </w:rPr>
        <w:t>Corresponding author.</w:t>
      </w:r>
    </w:p>
    <w:p w14:paraId="34E8932F" w14:textId="7AC76053" w:rsidR="000C7206" w:rsidRDefault="00F94BE7" w:rsidP="0002156F">
      <w:pPr>
        <w:rPr>
          <w:szCs w:val="24"/>
          <w:lang w:val="fr-FR"/>
        </w:rPr>
      </w:pPr>
      <w:r w:rsidRPr="00BB3F6A">
        <w:rPr>
          <w:szCs w:val="24"/>
          <w:lang w:val="fr-FR"/>
        </w:rPr>
        <w:t xml:space="preserve">E-mail address: </w:t>
      </w:r>
      <w:r w:rsidR="000C7206" w:rsidRPr="009E57BA">
        <w:rPr>
          <w:szCs w:val="24"/>
          <w:lang w:val="fr-FR"/>
        </w:rPr>
        <w:t xml:space="preserve">: </w:t>
      </w:r>
      <w:hyperlink r:id="rId5" w:history="1">
        <w:r w:rsidR="000C7206" w:rsidRPr="009E57BA">
          <w:rPr>
            <w:rStyle w:val="a3"/>
            <w:szCs w:val="24"/>
            <w:lang w:val="en-US"/>
          </w:rPr>
          <w:t>lakmallow@catalysis.ru</w:t>
        </w:r>
      </w:hyperlink>
      <w:r w:rsidR="000C7206" w:rsidRPr="00BB3F6A">
        <w:rPr>
          <w:szCs w:val="24"/>
          <w:lang w:val="fr-FR"/>
        </w:rPr>
        <w:t xml:space="preserve"> </w:t>
      </w:r>
      <w:r w:rsidRPr="00BB3F6A">
        <w:rPr>
          <w:szCs w:val="24"/>
          <w:lang w:val="fr-FR"/>
        </w:rPr>
        <w:t>(</w:t>
      </w:r>
      <w:r w:rsidR="000C7206">
        <w:rPr>
          <w:szCs w:val="24"/>
          <w:lang w:val="fr-FR"/>
        </w:rPr>
        <w:t>K</w:t>
      </w:r>
      <w:r w:rsidR="00D11166" w:rsidRPr="00D11166">
        <w:rPr>
          <w:szCs w:val="24"/>
          <w:lang w:val="fr-FR"/>
        </w:rPr>
        <w:t xml:space="preserve">.A. </w:t>
      </w:r>
      <w:r w:rsidR="000C7206">
        <w:rPr>
          <w:szCs w:val="24"/>
          <w:lang w:val="fr-FR"/>
        </w:rPr>
        <w:t>Nadeina</w:t>
      </w:r>
      <w:r w:rsidRPr="00BB3F6A">
        <w:rPr>
          <w:szCs w:val="24"/>
          <w:lang w:val="fr-FR"/>
        </w:rPr>
        <w:t>)</w:t>
      </w:r>
    </w:p>
    <w:p w14:paraId="513623C0" w14:textId="77777777" w:rsidR="000C7206" w:rsidRDefault="000C7206" w:rsidP="0002156F">
      <w:pPr>
        <w:rPr>
          <w:szCs w:val="24"/>
          <w:lang w:val="fr-FR"/>
        </w:rPr>
      </w:pPr>
    </w:p>
    <w:p w14:paraId="0281AB92" w14:textId="36B8ECA1" w:rsidR="00254ABD" w:rsidRDefault="00F94BE7" w:rsidP="00A922FC">
      <w:pPr>
        <w:ind w:firstLine="0"/>
        <w:rPr>
          <w:lang w:val="en-US"/>
        </w:rPr>
      </w:pPr>
      <w:r w:rsidRPr="00F94BE7">
        <w:rPr>
          <w:lang w:val="en-US"/>
        </w:rPr>
        <w:br w:type="page"/>
      </w:r>
    </w:p>
    <w:p w14:paraId="310BBB92" w14:textId="3579E910" w:rsidR="00941E95" w:rsidRPr="00FA070C" w:rsidRDefault="00941E95" w:rsidP="00941E95">
      <w:pPr>
        <w:ind w:firstLine="0"/>
        <w:rPr>
          <w:sz w:val="20"/>
          <w:szCs w:val="18"/>
          <w:lang w:val="en-US"/>
        </w:rPr>
      </w:pPr>
      <w:r w:rsidRPr="00FA070C">
        <w:rPr>
          <w:sz w:val="20"/>
          <w:szCs w:val="18"/>
          <w:lang w:val="en-US"/>
        </w:rPr>
        <w:lastRenderedPageBreak/>
        <w:t>Figure SI</w:t>
      </w:r>
      <w:r w:rsidR="00A922FC">
        <w:rPr>
          <w:sz w:val="20"/>
          <w:szCs w:val="18"/>
          <w:lang w:val="en-US"/>
        </w:rPr>
        <w:t>1</w:t>
      </w:r>
      <w:r w:rsidRPr="00FA070C">
        <w:rPr>
          <w:sz w:val="20"/>
          <w:szCs w:val="18"/>
          <w:lang w:val="en-US"/>
        </w:rPr>
        <w:t xml:space="preserve"> – </w:t>
      </w:r>
      <w:r>
        <w:rPr>
          <w:sz w:val="20"/>
          <w:szCs w:val="18"/>
          <w:lang w:val="en-US"/>
        </w:rPr>
        <w:t>XRD data of granulated catalyst with different precursor calcination temperature and catalysts calcination temperature</w:t>
      </w:r>
    </w:p>
    <w:p w14:paraId="375AED14" w14:textId="3645F40E" w:rsidR="00941E95" w:rsidRDefault="00941E95" w:rsidP="00843426">
      <w:pPr>
        <w:spacing w:after="0" w:line="480" w:lineRule="auto"/>
        <w:ind w:firstLine="0"/>
        <w:rPr>
          <w:rFonts w:eastAsia="Calibri"/>
          <w:highlight w:val="green"/>
          <w:lang w:val="en-US"/>
        </w:rPr>
      </w:pPr>
      <w:r>
        <w:rPr>
          <w:rFonts w:cs="Times New Roman"/>
          <w:bCs/>
          <w:i/>
          <w:iCs/>
          <w:noProof/>
          <w:szCs w:val="24"/>
        </w:rPr>
        <w:drawing>
          <wp:inline distT="0" distB="0" distL="0" distR="0" wp14:anchorId="34B0841E" wp14:editId="36C44758">
            <wp:extent cx="5562600" cy="4661495"/>
            <wp:effectExtent l="0" t="0" r="0" b="6350"/>
            <wp:docPr id="1937083910" name="Рисунок 2" descr="Изображение выглядит как текст, диаграмм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83910" name="Рисунок 2" descr="Изображение выглядит как текст, диаграмма, График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59" cy="466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DF55" w14:textId="0695B942" w:rsidR="00A922FC" w:rsidRPr="00FA070C" w:rsidRDefault="00A922FC" w:rsidP="00A922FC">
      <w:pPr>
        <w:ind w:firstLine="0"/>
        <w:rPr>
          <w:sz w:val="20"/>
          <w:szCs w:val="18"/>
          <w:lang w:val="en-US"/>
        </w:rPr>
      </w:pPr>
      <w:r w:rsidRPr="00FA070C">
        <w:rPr>
          <w:sz w:val="20"/>
          <w:szCs w:val="18"/>
          <w:lang w:val="en-US"/>
        </w:rPr>
        <w:t>Figure SI</w:t>
      </w:r>
      <w:r>
        <w:rPr>
          <w:sz w:val="20"/>
          <w:szCs w:val="18"/>
          <w:lang w:val="en-US"/>
        </w:rPr>
        <w:t>2</w:t>
      </w:r>
      <w:r w:rsidRPr="00FA070C">
        <w:rPr>
          <w:sz w:val="20"/>
          <w:szCs w:val="18"/>
          <w:lang w:val="en-US"/>
        </w:rPr>
        <w:t xml:space="preserve"> – Nitrogen adsorption-desorption isotherms and pore size distribution curves for granulated calcined catalysts</w:t>
      </w:r>
    </w:p>
    <w:p w14:paraId="06FA9587" w14:textId="21B9E559" w:rsidR="00A922FC" w:rsidRDefault="00FE07EE" w:rsidP="00A922FC">
      <w:pPr>
        <w:ind w:firstLine="0"/>
        <w:rPr>
          <w:lang w:val="en-US"/>
        </w:rPr>
      </w:pPr>
      <w:r>
        <w:rPr>
          <w:rFonts w:ascii="Times" w:eastAsia="Times New Roman" w:hAnsi="Times" w:cs="Times New Roman"/>
          <w:noProof/>
          <w:sz w:val="16"/>
          <w:szCs w:val="16"/>
          <w:lang w:val="en-US"/>
        </w:rPr>
        <w:drawing>
          <wp:inline distT="0" distB="0" distL="0" distR="0" wp14:anchorId="2059ABA5" wp14:editId="607878C8">
            <wp:extent cx="5935980" cy="2415540"/>
            <wp:effectExtent l="0" t="0" r="7620" b="3810"/>
            <wp:docPr id="14858185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1826C" w14:textId="77777777" w:rsidR="00941E95" w:rsidRDefault="00941E95" w:rsidP="005451F9">
      <w:pPr>
        <w:spacing w:line="480" w:lineRule="auto"/>
        <w:ind w:firstLine="0"/>
        <w:rPr>
          <w:rFonts w:eastAsia="Calibri"/>
          <w:sz w:val="20"/>
          <w:szCs w:val="18"/>
          <w:lang w:val="en-US"/>
        </w:rPr>
      </w:pPr>
    </w:p>
    <w:p w14:paraId="431E3E9E" w14:textId="77777777" w:rsidR="00941E95" w:rsidRDefault="00941E95" w:rsidP="005451F9">
      <w:pPr>
        <w:spacing w:line="480" w:lineRule="auto"/>
        <w:ind w:firstLine="0"/>
        <w:rPr>
          <w:rFonts w:eastAsia="Calibri"/>
          <w:sz w:val="20"/>
          <w:szCs w:val="18"/>
          <w:lang w:val="en-US"/>
        </w:rPr>
      </w:pPr>
    </w:p>
    <w:p w14:paraId="2D390B61" w14:textId="2A238344" w:rsidR="005451F9" w:rsidRPr="00FA070C" w:rsidRDefault="005451F9" w:rsidP="005451F9">
      <w:pPr>
        <w:spacing w:line="480" w:lineRule="auto"/>
        <w:ind w:firstLine="0"/>
        <w:rPr>
          <w:sz w:val="20"/>
          <w:szCs w:val="18"/>
          <w:lang w:val="en-US"/>
        </w:rPr>
      </w:pPr>
      <w:r w:rsidRPr="00FA070C">
        <w:rPr>
          <w:rFonts w:eastAsia="Calibri"/>
          <w:sz w:val="20"/>
          <w:szCs w:val="18"/>
          <w:lang w:val="en-US"/>
        </w:rPr>
        <w:lastRenderedPageBreak/>
        <w:t>Figure SI</w:t>
      </w:r>
      <w:r w:rsidR="00941E95">
        <w:rPr>
          <w:rFonts w:eastAsia="Calibri"/>
          <w:sz w:val="20"/>
          <w:szCs w:val="18"/>
          <w:lang w:val="en-US"/>
        </w:rPr>
        <w:t>3</w:t>
      </w:r>
      <w:r w:rsidRPr="00FA070C">
        <w:rPr>
          <w:rFonts w:eastAsia="Calibri"/>
          <w:sz w:val="20"/>
          <w:szCs w:val="18"/>
          <w:lang w:val="en-US"/>
        </w:rPr>
        <w:t xml:space="preserve"> — </w:t>
      </w:r>
      <w:r w:rsidRPr="00FA070C">
        <w:rPr>
          <w:sz w:val="20"/>
          <w:szCs w:val="18"/>
          <w:lang w:val="en-US"/>
        </w:rPr>
        <w:t>Pore size distribution curves for sulfided catalysts after reaction</w:t>
      </w:r>
    </w:p>
    <w:p w14:paraId="5516816F" w14:textId="5026B0A7" w:rsidR="005451F9" w:rsidRDefault="009757B4" w:rsidP="005451F9">
      <w:pPr>
        <w:pStyle w:val="TAMainText"/>
        <w:tabs>
          <w:tab w:val="left" w:pos="993"/>
        </w:tabs>
        <w:ind w:firstLine="0"/>
        <w:rPr>
          <w:rFonts w:eastAsia="Calibri"/>
          <w:lang w:val="ru-RU"/>
        </w:rPr>
      </w:pPr>
      <w:r>
        <w:rPr>
          <w:rFonts w:eastAsia="Calibri"/>
          <w:noProof/>
          <w:lang w:val="ru-RU"/>
        </w:rPr>
        <w:drawing>
          <wp:inline distT="0" distB="0" distL="0" distR="0" wp14:anchorId="3C4FB252" wp14:editId="0F734689">
            <wp:extent cx="4125685" cy="3156858"/>
            <wp:effectExtent l="0" t="0" r="8255" b="5715"/>
            <wp:docPr id="10801414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05" cy="316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25BB" w14:textId="77777777" w:rsidR="0000059B" w:rsidRDefault="0000059B" w:rsidP="00FA070C">
      <w:pPr>
        <w:pStyle w:val="TAMainText"/>
        <w:spacing w:line="240" w:lineRule="auto"/>
        <w:ind w:firstLine="0"/>
        <w:rPr>
          <w:rFonts w:ascii="Times New Roman" w:hAnsi="Times New Roman"/>
          <w:sz w:val="20"/>
          <w:szCs w:val="16"/>
          <w:lang w:val="ru-RU"/>
        </w:rPr>
      </w:pPr>
    </w:p>
    <w:p w14:paraId="57593C84" w14:textId="685BA5C1" w:rsidR="004A2AAE" w:rsidRPr="002A02C7" w:rsidRDefault="004A2AAE" w:rsidP="004A2AAE">
      <w:pPr>
        <w:pStyle w:val="TAMainText"/>
        <w:ind w:firstLine="0"/>
        <w:rPr>
          <w:rFonts w:ascii="Times New Roman" w:hAnsi="Times New Roman"/>
          <w:sz w:val="20"/>
          <w:szCs w:val="16"/>
        </w:rPr>
      </w:pPr>
      <w:r w:rsidRPr="00FA070C">
        <w:rPr>
          <w:rFonts w:ascii="Times New Roman" w:hAnsi="Times New Roman"/>
          <w:sz w:val="20"/>
          <w:szCs w:val="16"/>
        </w:rPr>
        <w:t>Figure SI</w:t>
      </w:r>
      <w:r w:rsidR="00941E95">
        <w:rPr>
          <w:rFonts w:ascii="Times New Roman" w:hAnsi="Times New Roman"/>
          <w:sz w:val="20"/>
          <w:szCs w:val="16"/>
        </w:rPr>
        <w:t>4</w:t>
      </w:r>
      <w:r w:rsidRPr="00FA070C">
        <w:rPr>
          <w:rFonts w:ascii="Times New Roman" w:hAnsi="Times New Roman"/>
          <w:sz w:val="20"/>
          <w:szCs w:val="16"/>
        </w:rPr>
        <w:t xml:space="preserve"> – HAADF data on the NiMoW-450-300 catalyst before testing</w:t>
      </w:r>
    </w:p>
    <w:p w14:paraId="353AD419" w14:textId="517BA388" w:rsidR="004A2AAE" w:rsidRDefault="004A2AAE" w:rsidP="004A2AAE">
      <w:pPr>
        <w:pStyle w:val="TAMainText"/>
        <w:ind w:firstLine="0"/>
        <w:rPr>
          <w:lang w:val="ru-RU"/>
        </w:rPr>
      </w:pPr>
      <w:r w:rsidRPr="00A705E1">
        <w:rPr>
          <w:rFonts w:ascii="Times New Roman" w:hAnsi="Times New Roman"/>
          <w:noProof/>
          <w:lang w:val="ru-RU" w:eastAsia="ru-RU"/>
          <w14:ligatures w14:val="standardContextual"/>
        </w:rPr>
        <w:drawing>
          <wp:inline distT="0" distB="0" distL="0" distR="0" wp14:anchorId="0F3D83DB" wp14:editId="45F82E2B">
            <wp:extent cx="5082299" cy="3399444"/>
            <wp:effectExtent l="0" t="0" r="4445" b="0"/>
            <wp:docPr id="1252250059" name="Рисунок 1252250059" descr="Изображение выглядит как снимок экрана, Красоч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50059" name="Рисунок 1252250059" descr="Изображение выглядит как снимок экрана, Красочнос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83" cy="3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CF5C5" w14:textId="77777777" w:rsidR="0000059B" w:rsidRDefault="0000059B" w:rsidP="004A2AAE">
      <w:pPr>
        <w:pStyle w:val="TAMainText"/>
        <w:ind w:firstLine="0"/>
      </w:pPr>
    </w:p>
    <w:p w14:paraId="612AB742" w14:textId="77777777" w:rsidR="00941E95" w:rsidRDefault="00941E95" w:rsidP="004A2AAE">
      <w:pPr>
        <w:pStyle w:val="TAMainText"/>
        <w:ind w:firstLine="0"/>
      </w:pPr>
    </w:p>
    <w:p w14:paraId="31D35C90" w14:textId="77777777" w:rsidR="00941E95" w:rsidRDefault="00941E95" w:rsidP="004A2AAE">
      <w:pPr>
        <w:pStyle w:val="TAMainText"/>
        <w:ind w:firstLine="0"/>
      </w:pPr>
    </w:p>
    <w:p w14:paraId="5C38D058" w14:textId="77777777" w:rsidR="00941E95" w:rsidRDefault="00941E95" w:rsidP="004A2AAE">
      <w:pPr>
        <w:pStyle w:val="TAMainText"/>
        <w:ind w:firstLine="0"/>
      </w:pPr>
    </w:p>
    <w:p w14:paraId="5E97C40A" w14:textId="77777777" w:rsidR="00941E95" w:rsidRPr="00941E95" w:rsidRDefault="00941E95" w:rsidP="004A2AAE">
      <w:pPr>
        <w:pStyle w:val="TAMainText"/>
        <w:ind w:firstLine="0"/>
      </w:pPr>
    </w:p>
    <w:p w14:paraId="2F7BA0D9" w14:textId="1CD87319" w:rsidR="004A2AAE" w:rsidRPr="00FA070C" w:rsidRDefault="004A2AAE" w:rsidP="004A2AAE">
      <w:pPr>
        <w:pStyle w:val="TAMainText"/>
        <w:ind w:firstLine="0"/>
        <w:rPr>
          <w:rFonts w:ascii="Times New Roman" w:hAnsi="Times New Roman"/>
          <w:sz w:val="20"/>
          <w:szCs w:val="16"/>
        </w:rPr>
      </w:pPr>
      <w:r w:rsidRPr="00FA070C">
        <w:rPr>
          <w:rFonts w:ascii="Times New Roman" w:hAnsi="Times New Roman"/>
          <w:sz w:val="20"/>
          <w:szCs w:val="16"/>
        </w:rPr>
        <w:t>Figure SI</w:t>
      </w:r>
      <w:r w:rsidR="00941E95">
        <w:rPr>
          <w:rFonts w:ascii="Times New Roman" w:hAnsi="Times New Roman"/>
          <w:sz w:val="20"/>
          <w:szCs w:val="16"/>
        </w:rPr>
        <w:t>5</w:t>
      </w:r>
      <w:r w:rsidRPr="00FA070C">
        <w:rPr>
          <w:rFonts w:ascii="Times New Roman" w:hAnsi="Times New Roman"/>
          <w:sz w:val="20"/>
          <w:szCs w:val="16"/>
        </w:rPr>
        <w:t xml:space="preserve"> – HAADF data on the NiMoW-500-300 catalyst before testing</w:t>
      </w:r>
    </w:p>
    <w:p w14:paraId="4541C7AD" w14:textId="6F206D6F" w:rsidR="004A2AAE" w:rsidRPr="004A2AAE" w:rsidRDefault="004A2AAE" w:rsidP="004A2AAE">
      <w:pPr>
        <w:pStyle w:val="TAMainText"/>
        <w:ind w:firstLine="0"/>
      </w:pPr>
      <w:r w:rsidRPr="005C5298">
        <w:rPr>
          <w:rFonts w:ascii="Times New Roman" w:hAnsi="Times New Roman"/>
          <w:noProof/>
          <w:lang w:val="ru-RU" w:eastAsia="ru-RU"/>
          <w14:ligatures w14:val="standardContextual"/>
        </w:rPr>
        <w:drawing>
          <wp:inline distT="0" distB="0" distL="0" distR="0" wp14:anchorId="4A132A4B" wp14:editId="4D300BC4">
            <wp:extent cx="5146963" cy="3451668"/>
            <wp:effectExtent l="0" t="0" r="0" b="0"/>
            <wp:docPr id="1252250067" name="Рисунок 1252250067" descr="Изображение выглядит как снимок экрана, Красоч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50067" name="Рисунок 1252250067" descr="Изображение выглядит как снимок экрана, Красочнос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04" cy="345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AAE" w:rsidRPr="004A2AAE" w:rsidSect="00511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57"/>
    <w:rsid w:val="0000059B"/>
    <w:rsid w:val="0002156F"/>
    <w:rsid w:val="000604AD"/>
    <w:rsid w:val="00076662"/>
    <w:rsid w:val="000C7206"/>
    <w:rsid w:val="001564F3"/>
    <w:rsid w:val="001758EC"/>
    <w:rsid w:val="00182F1E"/>
    <w:rsid w:val="00193077"/>
    <w:rsid w:val="00254ABD"/>
    <w:rsid w:val="002A02C7"/>
    <w:rsid w:val="002F6E56"/>
    <w:rsid w:val="00490B42"/>
    <w:rsid w:val="004A2AAE"/>
    <w:rsid w:val="00511B18"/>
    <w:rsid w:val="005451F9"/>
    <w:rsid w:val="005B1971"/>
    <w:rsid w:val="00690675"/>
    <w:rsid w:val="007015ED"/>
    <w:rsid w:val="007735EB"/>
    <w:rsid w:val="007B03CA"/>
    <w:rsid w:val="00843426"/>
    <w:rsid w:val="00862E19"/>
    <w:rsid w:val="00941E0D"/>
    <w:rsid w:val="00941E95"/>
    <w:rsid w:val="00965F4A"/>
    <w:rsid w:val="009757B4"/>
    <w:rsid w:val="00A14C3B"/>
    <w:rsid w:val="00A922FC"/>
    <w:rsid w:val="00B27050"/>
    <w:rsid w:val="00B56863"/>
    <w:rsid w:val="00BA1807"/>
    <w:rsid w:val="00BE398C"/>
    <w:rsid w:val="00BF2E94"/>
    <w:rsid w:val="00BF35DA"/>
    <w:rsid w:val="00D11166"/>
    <w:rsid w:val="00D23566"/>
    <w:rsid w:val="00D47557"/>
    <w:rsid w:val="00D56423"/>
    <w:rsid w:val="00DC4550"/>
    <w:rsid w:val="00E43EDD"/>
    <w:rsid w:val="00EF6A60"/>
    <w:rsid w:val="00F5059E"/>
    <w:rsid w:val="00F94BE7"/>
    <w:rsid w:val="00FA070C"/>
    <w:rsid w:val="00FE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7FAAD4"/>
  <w15:chartTrackingRefBased/>
  <w15:docId w15:val="{C0D70C4F-EC38-4A77-BCBC-A4C03B9A6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7557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MainText">
    <w:name w:val="TA_Main_Text"/>
    <w:basedOn w:val="a"/>
    <w:rsid w:val="00D47557"/>
    <w:pPr>
      <w:spacing w:after="0" w:line="480" w:lineRule="auto"/>
      <w:ind w:firstLine="202"/>
    </w:pPr>
    <w:rPr>
      <w:rFonts w:ascii="Times" w:eastAsia="Times New Roman" w:hAnsi="Times" w:cs="Times New Roman"/>
      <w:szCs w:val="20"/>
      <w:lang w:val="en-US"/>
    </w:rPr>
  </w:style>
  <w:style w:type="character" w:styleId="a3">
    <w:name w:val="Hyperlink"/>
    <w:uiPriority w:val="99"/>
    <w:rsid w:val="00F94BE7"/>
    <w:rPr>
      <w:color w:val="0000FF"/>
      <w:u w:val="single"/>
    </w:rPr>
  </w:style>
  <w:style w:type="paragraph" w:customStyle="1" w:styleId="Authors">
    <w:name w:val="Authors"/>
    <w:basedOn w:val="a"/>
    <w:rsid w:val="00F94BE7"/>
    <w:pPr>
      <w:spacing w:after="120" w:line="240" w:lineRule="auto"/>
      <w:ind w:firstLine="0"/>
      <w:jc w:val="center"/>
    </w:pPr>
    <w:rPr>
      <w:rFonts w:eastAsia="Times New Roman" w:cs="Times New Roman"/>
      <w:sz w:val="26"/>
      <w:szCs w:val="24"/>
      <w:lang w:val="en-GB" w:eastAsia="fr-FR"/>
    </w:rPr>
  </w:style>
  <w:style w:type="table" w:styleId="a4">
    <w:name w:val="Table Grid"/>
    <w:basedOn w:val="a1"/>
    <w:uiPriority w:val="39"/>
    <w:rsid w:val="007B0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5059E"/>
    <w:pPr>
      <w:spacing w:line="259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character" w:styleId="a6">
    <w:name w:val="annotation reference"/>
    <w:basedOn w:val="a0"/>
    <w:uiPriority w:val="99"/>
    <w:unhideWhenUsed/>
    <w:rsid w:val="00254ABD"/>
    <w:rPr>
      <w:sz w:val="16"/>
      <w:szCs w:val="16"/>
    </w:rPr>
  </w:style>
  <w:style w:type="paragraph" w:styleId="a7">
    <w:name w:val="annotation text"/>
    <w:basedOn w:val="a"/>
    <w:link w:val="1"/>
    <w:rsid w:val="00254ABD"/>
    <w:pPr>
      <w:spacing w:after="200" w:line="240" w:lineRule="auto"/>
    </w:pPr>
    <w:rPr>
      <w:rFonts w:ascii="Times" w:eastAsia="Times New Roman" w:hAnsi="Times" w:cs="Times New Roman"/>
      <w:sz w:val="20"/>
      <w:szCs w:val="20"/>
      <w:lang w:val="en-US"/>
    </w:rPr>
  </w:style>
  <w:style w:type="character" w:customStyle="1" w:styleId="a8">
    <w:name w:val="Текст примечания Знак"/>
    <w:basedOn w:val="a0"/>
    <w:uiPriority w:val="99"/>
    <w:semiHidden/>
    <w:rsid w:val="00254ABD"/>
    <w:rPr>
      <w:rFonts w:ascii="Times New Roman" w:hAnsi="Times New Roman"/>
      <w:sz w:val="20"/>
      <w:szCs w:val="20"/>
    </w:rPr>
  </w:style>
  <w:style w:type="character" w:customStyle="1" w:styleId="1">
    <w:name w:val="Текст примечания Знак1"/>
    <w:basedOn w:val="a0"/>
    <w:link w:val="a7"/>
    <w:rsid w:val="00254ABD"/>
    <w:rPr>
      <w:rFonts w:ascii="Times" w:eastAsia="Times New Roman" w:hAnsi="Times" w:cs="Times New Roman"/>
      <w:sz w:val="20"/>
      <w:szCs w:val="20"/>
      <w:lang w:val="en-US"/>
    </w:rPr>
  </w:style>
  <w:style w:type="paragraph" w:styleId="a9">
    <w:name w:val="Normal (Web)"/>
    <w:basedOn w:val="a"/>
    <w:uiPriority w:val="99"/>
    <w:semiHidden/>
    <w:unhideWhenUsed/>
    <w:rsid w:val="004A2AA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87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lakmallow@catalysis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790BC-3BCB-49BF-8276-A385B39DD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Ксения Надеина</cp:lastModifiedBy>
  <cp:revision>14</cp:revision>
  <dcterms:created xsi:type="dcterms:W3CDTF">2024-06-15T05:54:00Z</dcterms:created>
  <dcterms:modified xsi:type="dcterms:W3CDTF">2024-10-02T08:22:00Z</dcterms:modified>
</cp:coreProperties>
</file>